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EF" w:rsidRPr="00E90EEF" w:rsidRDefault="00E90EEF" w:rsidP="00111722">
      <w:pPr>
        <w:spacing w:after="150"/>
        <w:jc w:val="center"/>
        <w:outlineLvl w:val="0"/>
        <w:rPr>
          <w:rFonts w:ascii="Times New Roman" w:eastAsia="Times New Roman" w:hAnsi="Times New Roman"/>
          <w:b/>
          <w:bCs/>
          <w:color w:val="2F2F2F"/>
          <w:kern w:val="36"/>
          <w:sz w:val="45"/>
          <w:szCs w:val="45"/>
          <w:u w:val="single"/>
          <w:lang w:eastAsia="ru-RU"/>
        </w:rPr>
      </w:pPr>
      <w:r w:rsidRPr="00E90EEF">
        <w:rPr>
          <w:rFonts w:ascii="Times New Roman" w:eastAsia="Times New Roman" w:hAnsi="Times New Roman"/>
          <w:b/>
          <w:bCs/>
          <w:color w:val="2F2F2F"/>
          <w:kern w:val="36"/>
          <w:sz w:val="45"/>
          <w:szCs w:val="45"/>
          <w:u w:val="single"/>
          <w:lang w:eastAsia="ru-RU"/>
        </w:rPr>
        <w:t>Специальная оценка условий труда в 2020 году.</w:t>
      </w:r>
    </w:p>
    <w:p w:rsidR="00E90EEF" w:rsidRPr="00E90EEF" w:rsidRDefault="00BD10A1" w:rsidP="00130F69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hyperlink r:id="rId6" w:history="1">
        <w:r w:rsidR="00E90EEF" w:rsidRPr="00E90EEF">
          <w:rPr>
            <w:rFonts w:ascii="Roboto" w:eastAsia="Times New Roman" w:hAnsi="Roboto"/>
            <w:color w:val="1EAAE8"/>
            <w:u w:val="single"/>
            <w:lang w:eastAsia="ru-RU"/>
          </w:rPr>
          <w:t>Проведение спец</w:t>
        </w:r>
        <w:r w:rsidR="00F83C0C">
          <w:rPr>
            <w:rFonts w:ascii="Roboto" w:eastAsia="Times New Roman" w:hAnsi="Roboto"/>
            <w:color w:val="1EAAE8"/>
            <w:u w:val="single"/>
            <w:lang w:eastAsia="ru-RU"/>
          </w:rPr>
          <w:t xml:space="preserve">иальной </w:t>
        </w:r>
        <w:r w:rsidR="00E90EEF" w:rsidRPr="00E90EEF">
          <w:rPr>
            <w:rFonts w:ascii="Roboto" w:eastAsia="Times New Roman" w:hAnsi="Roboto"/>
            <w:color w:val="1EAAE8"/>
            <w:u w:val="single"/>
            <w:lang w:eastAsia="ru-RU"/>
          </w:rPr>
          <w:t>оценки условий труда</w:t>
        </w:r>
      </w:hyperlink>
      <w:r w:rsidR="00E90EEF" w:rsidRPr="00E90EEF">
        <w:rPr>
          <w:rFonts w:ascii="Roboto" w:eastAsia="Times New Roman" w:hAnsi="Roboto"/>
          <w:color w:val="2F2F2F"/>
          <w:lang w:eastAsia="ru-RU"/>
        </w:rPr>
        <w:t xml:space="preserve"> для контроля соблюдения законных прав и интересов работников стало обязательным в России с 2014 года. Такой порядок был установлен положениями федерального закона № 426-ФЗ. </w:t>
      </w:r>
      <w:proofErr w:type="gramStart"/>
      <w:r w:rsidR="00E90EEF" w:rsidRPr="00E90EEF">
        <w:rPr>
          <w:rFonts w:ascii="Roboto" w:eastAsia="Times New Roman" w:hAnsi="Roboto"/>
          <w:color w:val="2F2F2F"/>
          <w:lang w:eastAsia="ru-RU"/>
        </w:rPr>
        <w:t>Однако</w:t>
      </w:r>
      <w:proofErr w:type="gramEnd"/>
      <w:r w:rsidR="00E90EEF" w:rsidRPr="00E90EEF">
        <w:rPr>
          <w:rFonts w:ascii="Roboto" w:eastAsia="Times New Roman" w:hAnsi="Roboto"/>
          <w:color w:val="2F2F2F"/>
          <w:lang w:eastAsia="ru-RU"/>
        </w:rPr>
        <w:t xml:space="preserve"> несмотря на то, что данная процедура уже стала привычной для многих российских работодателей, в процесс ее реализации продолжают вносить некоторые изменения, направленные на повышение ее эффективности. В 2020 году систему также ожидают достаточно серьезные корректировки, с которыми организациям целесообразно ознакомиться заранее.</w:t>
      </w:r>
    </w:p>
    <w:p w:rsidR="00E90EEF" w:rsidRPr="00BD10A1" w:rsidRDefault="00E90EEF" w:rsidP="006B14CF">
      <w:pPr>
        <w:spacing w:before="300" w:after="300"/>
        <w:jc w:val="center"/>
        <w:outlineLvl w:val="1"/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</w:pPr>
      <w:r w:rsidRPr="00BD10A1"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  <w:t>Действующий порядок проведения СОУТ</w:t>
      </w:r>
    </w:p>
    <w:p w:rsidR="00E90EEF" w:rsidRPr="00E90EEF" w:rsidRDefault="00BD10A1" w:rsidP="00E90EE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hyperlink r:id="rId7" w:anchor="11111" w:history="1">
        <w:r w:rsidR="00E90EEF" w:rsidRPr="00E90EEF">
          <w:rPr>
            <w:rFonts w:ascii="Roboto" w:eastAsia="Times New Roman" w:hAnsi="Roboto"/>
            <w:color w:val="1EAAE8"/>
            <w:u w:val="single"/>
            <w:lang w:eastAsia="ru-RU"/>
          </w:rPr>
          <w:t>Действующий порядок проведения СОУТ</w:t>
        </w:r>
      </w:hyperlink>
    </w:p>
    <w:p w:rsidR="00E90EEF" w:rsidRPr="00E90EEF" w:rsidRDefault="00BD10A1" w:rsidP="00E90EE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hyperlink r:id="rId8" w:anchor="22222" w:history="1">
        <w:r w:rsidR="00E90EEF" w:rsidRPr="00E90EEF">
          <w:rPr>
            <w:rFonts w:ascii="Roboto" w:eastAsia="Times New Roman" w:hAnsi="Roboto"/>
            <w:color w:val="1EAAE8"/>
            <w:u w:val="single"/>
            <w:lang w:eastAsia="ru-RU"/>
          </w:rPr>
          <w:t>Процедура СОУТ</w:t>
        </w:r>
      </w:hyperlink>
    </w:p>
    <w:p w:rsidR="00E90EEF" w:rsidRPr="00E90EEF" w:rsidRDefault="00BD10A1" w:rsidP="00E90EE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hyperlink r:id="rId9" w:anchor="33333" w:history="1">
        <w:r w:rsidR="00E90EEF" w:rsidRPr="00E90EEF">
          <w:rPr>
            <w:rFonts w:ascii="Roboto" w:eastAsia="Times New Roman" w:hAnsi="Roboto"/>
            <w:color w:val="1EAAE8"/>
            <w:u w:val="single"/>
            <w:lang w:eastAsia="ru-RU"/>
          </w:rPr>
          <w:t>Санкции за нарушение порядка проведения спец</w:t>
        </w:r>
        <w:r w:rsidR="00F83C0C">
          <w:rPr>
            <w:rFonts w:ascii="Roboto" w:eastAsia="Times New Roman" w:hAnsi="Roboto"/>
            <w:color w:val="1EAAE8"/>
            <w:u w:val="single"/>
            <w:lang w:eastAsia="ru-RU"/>
          </w:rPr>
          <w:t xml:space="preserve">иальной </w:t>
        </w:r>
        <w:r w:rsidR="00E90EEF" w:rsidRPr="00E90EEF">
          <w:rPr>
            <w:rFonts w:ascii="Roboto" w:eastAsia="Times New Roman" w:hAnsi="Roboto"/>
            <w:color w:val="1EAAE8"/>
            <w:u w:val="single"/>
            <w:lang w:eastAsia="ru-RU"/>
          </w:rPr>
          <w:t>оценки или ее не</w:t>
        </w:r>
        <w:r w:rsidR="00F83C0C">
          <w:rPr>
            <w:rFonts w:ascii="Roboto" w:eastAsia="Times New Roman" w:hAnsi="Roboto"/>
            <w:color w:val="1EAAE8"/>
            <w:u w:val="single"/>
            <w:lang w:eastAsia="ru-RU"/>
          </w:rPr>
          <w:t xml:space="preserve"> </w:t>
        </w:r>
        <w:r w:rsidR="00E90EEF" w:rsidRPr="00E90EEF">
          <w:rPr>
            <w:rFonts w:ascii="Roboto" w:eastAsia="Times New Roman" w:hAnsi="Roboto"/>
            <w:color w:val="1EAAE8"/>
            <w:u w:val="single"/>
            <w:lang w:eastAsia="ru-RU"/>
          </w:rPr>
          <w:t>проведение</w:t>
        </w:r>
      </w:hyperlink>
    </w:p>
    <w:p w:rsidR="00E90EEF" w:rsidRPr="00E90EEF" w:rsidRDefault="00BD10A1" w:rsidP="00E90EE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hyperlink r:id="rId10" w:anchor="44444" w:history="1">
        <w:r w:rsidR="00E90EEF" w:rsidRPr="00E90EEF">
          <w:rPr>
            <w:rFonts w:ascii="Roboto" w:eastAsia="Times New Roman" w:hAnsi="Roboto"/>
            <w:color w:val="1EAAE8"/>
            <w:u w:val="single"/>
            <w:lang w:eastAsia="ru-RU"/>
          </w:rPr>
          <w:t>Изменения в сфере СОУТ в 2020 году: система наложения штрафов</w:t>
        </w:r>
      </w:hyperlink>
    </w:p>
    <w:p w:rsidR="00E90EEF" w:rsidRPr="00E90EEF" w:rsidRDefault="00BD10A1" w:rsidP="00E90EE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hyperlink r:id="rId11" w:anchor="55555" w:history="1">
        <w:r w:rsidR="00E90EEF" w:rsidRPr="00E90EEF">
          <w:rPr>
            <w:rFonts w:ascii="Roboto" w:eastAsia="Times New Roman" w:hAnsi="Roboto"/>
            <w:color w:val="1EAAE8"/>
            <w:u w:val="single"/>
            <w:lang w:eastAsia="ru-RU"/>
          </w:rPr>
          <w:t>Изменения в сфере СОУТ в 2020 году: аттестация методов измерений</w:t>
        </w:r>
      </w:hyperlink>
    </w:p>
    <w:p w:rsidR="00E90EEF" w:rsidRPr="00E90EEF" w:rsidRDefault="00E90EEF" w:rsidP="00130F69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В соответствии с положениями 426-ФЗ каждое предприятие обязано проводить оценку рабочих мест с целью определения условий труда работников. В число исключений, регламентированных содержанием ст. 3 данного нормативного документа, входят:</w:t>
      </w:r>
    </w:p>
    <w:p w:rsidR="00E90EEF" w:rsidRPr="00E90EEF" w:rsidRDefault="00E90EEF" w:rsidP="00E90E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места сотрудников, которые работают в удаленном режиме;</w:t>
      </w:r>
    </w:p>
    <w:p w:rsidR="00E90EEF" w:rsidRPr="00E90EEF" w:rsidRDefault="00E90EEF" w:rsidP="00E90E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места сотрудников, которые являются надомными работниками;</w:t>
      </w:r>
    </w:p>
    <w:p w:rsidR="00E90EEF" w:rsidRPr="00E90EEF" w:rsidRDefault="00E90EEF" w:rsidP="00E90EE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места работников, которые оказывают услуги физическим лицам или религиозным организациям.</w:t>
      </w:r>
    </w:p>
    <w:p w:rsidR="00E90EEF" w:rsidRPr="00E90EEF" w:rsidRDefault="00E90EEF" w:rsidP="00130F69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Все остальные компании, вне зависимости от их сферы деятельности, масштаба, формы собственности и других факторов, обязаны проводить СОУТ.</w:t>
      </w:r>
    </w:p>
    <w:p w:rsidR="00E90EEF" w:rsidRPr="00E90EEF" w:rsidRDefault="00E90EEF" w:rsidP="00130F69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В течение некоторого времени после вступления в силу 426-ФЗ для компаний, которые провели проверку мест своих сотрудников по старым правилам, то есть в рамках процедуры аттестации рабочих мест (АРМ), действовал переходный период. Он позволял предприятиям, имеющим действующее свидетельство о прохождении АРМ, не проводить СОУТ в период его действия. Однако этот переходный период завершился 31 декабря 2018 года: по истечении этой даты все свидетельства о прохождении АРМ, даже если срок их действия не истек, перестали иметь силу. С этого момента такие компании обязаны проходить СОУТ в стандартном порядке.</w:t>
      </w:r>
    </w:p>
    <w:p w:rsidR="00E90EEF" w:rsidRPr="00BD10A1" w:rsidRDefault="00E90EEF" w:rsidP="006B14CF">
      <w:pPr>
        <w:spacing w:before="300" w:after="300"/>
        <w:jc w:val="center"/>
        <w:outlineLvl w:val="1"/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</w:pPr>
      <w:r w:rsidRPr="00BD10A1"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  <w:t>Процедура СОУТ</w:t>
      </w:r>
    </w:p>
    <w:p w:rsidR="00E90EEF" w:rsidRPr="00E90EEF" w:rsidRDefault="00E90EEF" w:rsidP="00130F69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Процедура проведения спец</w:t>
      </w:r>
      <w:r w:rsidR="00F83C0C">
        <w:rPr>
          <w:rFonts w:ascii="Roboto" w:eastAsia="Times New Roman" w:hAnsi="Roboto"/>
          <w:color w:val="2F2F2F"/>
          <w:lang w:eastAsia="ru-RU"/>
        </w:rPr>
        <w:t xml:space="preserve">иальной </w:t>
      </w:r>
      <w:r w:rsidRPr="00E90EEF">
        <w:rPr>
          <w:rFonts w:ascii="Roboto" w:eastAsia="Times New Roman" w:hAnsi="Roboto"/>
          <w:color w:val="2F2F2F"/>
          <w:lang w:eastAsia="ru-RU"/>
        </w:rPr>
        <w:t>оценки представляет собой комплекс работ, состоящий из следующих этапов:</w:t>
      </w:r>
    </w:p>
    <w:p w:rsidR="00E90EEF" w:rsidRPr="00E90EEF" w:rsidRDefault="00E90EEF" w:rsidP="00E90EE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создание комиссии по проведению СОУТ, которая определит перечень мест работы, подлежащих проведению оценки, и установит, какие из них являются аналогичными;</w:t>
      </w:r>
    </w:p>
    <w:p w:rsidR="00E90EEF" w:rsidRPr="00E90EEF" w:rsidRDefault="00E90EEF" w:rsidP="00E90EE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выбор специализированной организации, имеющей право проведения СОУТ, и заключение договора с этой компанией;</w:t>
      </w:r>
    </w:p>
    <w:p w:rsidR="00E90EEF" w:rsidRPr="00E90EEF" w:rsidRDefault="00E90EEF" w:rsidP="00E90EE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установление специалистами этой компании наличия вредных или опасных факторов, которые воздействуют на организм сотрудников в ходе выполнения работ;</w:t>
      </w:r>
    </w:p>
    <w:p w:rsidR="00E90EEF" w:rsidRPr="00E90EEF" w:rsidRDefault="00E90EEF" w:rsidP="00E90EE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lastRenderedPageBreak/>
        <w:t>выявление степени интенсивности влияния таких факторов на организм работников в случае их выявления;</w:t>
      </w:r>
    </w:p>
    <w:p w:rsidR="00E90EEF" w:rsidRPr="00E90EEF" w:rsidRDefault="00E90EEF" w:rsidP="00E90EE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определение класса условий труда работников по результатам выполненных обследований и измерений;</w:t>
      </w:r>
    </w:p>
    <w:p w:rsidR="00E90EEF" w:rsidRPr="00E90EEF" w:rsidRDefault="00E90EEF" w:rsidP="00E90EE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оформление отчетной и иной документации по результатам проведения СОУТ;</w:t>
      </w:r>
    </w:p>
    <w:p w:rsidR="00E90EEF" w:rsidRPr="00E90EEF" w:rsidRDefault="00E90EEF" w:rsidP="00E90EE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утверждение отчета работодателем;</w:t>
      </w:r>
    </w:p>
    <w:p w:rsidR="00E90EEF" w:rsidRPr="00E90EEF" w:rsidRDefault="00E90EEF" w:rsidP="00E90EE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направление соответствующей информации в Федеральную систему учета результатов СОУТ;</w:t>
      </w:r>
    </w:p>
    <w:p w:rsidR="00E90EEF" w:rsidRPr="00E90EEF" w:rsidRDefault="00E90EEF" w:rsidP="00E90EE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организация ознакомления сотрудников с результатами СОУТ и размещение этих данных на официальном сайте организации;</w:t>
      </w:r>
    </w:p>
    <w:p w:rsidR="00E90EEF" w:rsidRPr="00E90EEF" w:rsidRDefault="00E90EEF" w:rsidP="00E90EE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другие действия, предусмотренные для конкретной ситуации действующим законодательством.</w:t>
      </w:r>
    </w:p>
    <w:p w:rsidR="00E90EEF" w:rsidRPr="00BD10A1" w:rsidRDefault="00E90EEF" w:rsidP="00E90EEF">
      <w:pPr>
        <w:spacing w:before="300" w:after="300"/>
        <w:jc w:val="center"/>
        <w:outlineLvl w:val="2"/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</w:pPr>
      <w:r w:rsidRPr="00BD10A1"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  <w:t>Санкции за нарушение порядка проведения спец</w:t>
      </w:r>
      <w:r w:rsidR="00F83C0C" w:rsidRPr="00BD10A1"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  <w:t xml:space="preserve">иальной </w:t>
      </w:r>
      <w:r w:rsidRPr="00BD10A1"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  <w:t>оценки или ее не проведение.</w:t>
      </w:r>
    </w:p>
    <w:p w:rsidR="00E90EEF" w:rsidRPr="00E90EEF" w:rsidRDefault="00E90EEF" w:rsidP="00697183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 xml:space="preserve">В случае нарушения указанных требований </w:t>
      </w:r>
      <w:proofErr w:type="gramStart"/>
      <w:r w:rsidRPr="00E90EEF">
        <w:rPr>
          <w:rFonts w:ascii="Roboto" w:eastAsia="Times New Roman" w:hAnsi="Roboto"/>
          <w:color w:val="2F2F2F"/>
          <w:lang w:eastAsia="ru-RU"/>
        </w:rPr>
        <w:t>действующим</w:t>
      </w:r>
      <w:proofErr w:type="gramEnd"/>
      <w:r w:rsidRPr="00E90EEF">
        <w:rPr>
          <w:rFonts w:ascii="Roboto" w:eastAsia="Times New Roman" w:hAnsi="Roboto"/>
          <w:color w:val="2F2F2F"/>
          <w:lang w:eastAsia="ru-RU"/>
        </w:rPr>
        <w:t xml:space="preserve"> КоАП для работодателей предусматриваются достаточно серьезные санкции. При этом нужно учитывать, что статья 5.27.1 устанавливает одинаковые наказания за нарушение действующих правил проведения СОУТ или ее не</w:t>
      </w:r>
      <w:r>
        <w:rPr>
          <w:rFonts w:ascii="Roboto" w:eastAsia="Times New Roman" w:hAnsi="Roboto"/>
          <w:color w:val="2F2F2F"/>
          <w:lang w:eastAsia="ru-RU"/>
        </w:rPr>
        <w:t xml:space="preserve"> </w:t>
      </w:r>
      <w:r w:rsidRPr="00E90EEF">
        <w:rPr>
          <w:rFonts w:ascii="Roboto" w:eastAsia="Times New Roman" w:hAnsi="Roboto"/>
          <w:color w:val="2F2F2F"/>
          <w:lang w:eastAsia="ru-RU"/>
        </w:rPr>
        <w:t>проведение. Такие санкции зависят от того, кто именно выступает в роли субъекта, ответственного за невыполнение требований законодательства:</w:t>
      </w:r>
    </w:p>
    <w:p w:rsidR="00E90EEF" w:rsidRPr="00E90EEF" w:rsidRDefault="00E90EEF" w:rsidP="00E90EE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в отношении должностных лиц за такое нарушение применяется предупреждение или штраф размером 5-10 тыс. руб. При повторном нарушении сумма штрафа увеличивается до 30-40 тыс. руб. Он может быть заменен дисквалификацией на период сроком 1-3 года;</w:t>
      </w:r>
    </w:p>
    <w:p w:rsidR="00E90EEF" w:rsidRPr="00E90EEF" w:rsidRDefault="00E90EEF" w:rsidP="00E90EE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в отношении предпринимателей применяется штраф размером 5-10 тыс. руб. В случае повторного нарушения штраф увеличивается до 30-40 тыс. руб. или заменяется остановкой работы предпринимателя на срок до 90 дней;</w:t>
      </w:r>
    </w:p>
    <w:p w:rsidR="00E90EEF" w:rsidRPr="00E90EEF" w:rsidRDefault="00E90EEF" w:rsidP="00E90EE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в отношении организаций применяется штраф размером 60-80 тыс. руб. При повторном нарушении штраф увеличивается до 100-200 тыс. руб. или заменяется остановкой работы компании на срок до 90 дней.</w:t>
      </w:r>
    </w:p>
    <w:p w:rsidR="00E90EEF" w:rsidRPr="00BD10A1" w:rsidRDefault="00E90EEF" w:rsidP="00E90EEF">
      <w:pPr>
        <w:spacing w:before="300" w:after="300"/>
        <w:jc w:val="center"/>
        <w:outlineLvl w:val="2"/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</w:pPr>
      <w:r w:rsidRPr="00BD10A1"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  <w:t>Изменения в сфере СОУТ в 2020 году: система наложения штрафов.</w:t>
      </w:r>
    </w:p>
    <w:p w:rsidR="00E90EEF" w:rsidRPr="00E90EEF" w:rsidRDefault="00E90EEF" w:rsidP="00C9057F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Собственно процедура проведения спец</w:t>
      </w:r>
      <w:r w:rsidR="00F83C0C">
        <w:rPr>
          <w:rFonts w:ascii="Roboto" w:eastAsia="Times New Roman" w:hAnsi="Roboto"/>
          <w:color w:val="2F2F2F"/>
          <w:lang w:eastAsia="ru-RU"/>
        </w:rPr>
        <w:t xml:space="preserve">иальной </w:t>
      </w:r>
      <w:r w:rsidRPr="00E90EEF">
        <w:rPr>
          <w:rFonts w:ascii="Roboto" w:eastAsia="Times New Roman" w:hAnsi="Roboto"/>
          <w:color w:val="2F2F2F"/>
          <w:lang w:eastAsia="ru-RU"/>
        </w:rPr>
        <w:t>оценки в 2020 году, как ожидается, останется неизменной. Однако контролирующие органы, которые занимаются проверкой проведения СОУТ на предприятиях, анонсируют существенное ужесточение системы наказаний за несоблюдение требований к ее организации или не</w:t>
      </w:r>
      <w:r>
        <w:rPr>
          <w:rFonts w:ascii="Roboto" w:eastAsia="Times New Roman" w:hAnsi="Roboto"/>
          <w:color w:val="2F2F2F"/>
          <w:lang w:eastAsia="ru-RU"/>
        </w:rPr>
        <w:t xml:space="preserve"> </w:t>
      </w:r>
      <w:r w:rsidRPr="00E90EEF">
        <w:rPr>
          <w:rFonts w:ascii="Roboto" w:eastAsia="Times New Roman" w:hAnsi="Roboto"/>
          <w:color w:val="2F2F2F"/>
          <w:lang w:eastAsia="ru-RU"/>
        </w:rPr>
        <w:t>проведение процедуры.</w:t>
      </w:r>
    </w:p>
    <w:p w:rsidR="00E90EEF" w:rsidRPr="00E90EEF" w:rsidRDefault="00E90EEF" w:rsidP="00C9057F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Особенностью 2020 года станет то, что предусмотренные законом штрафы будут начисляться в автоматическом режиме. Это станет возможным благодаря тому, что к рассматриваемому периоду должно быть полностью завершено формирование информационных баз, которые позволят проводить эту операцию без участия людей. Суть этой проверки будет заключаться в сопоставлении данных о сроке регистрации компании и сведений о проведении ею спец</w:t>
      </w:r>
      <w:r w:rsidR="00F83C0C">
        <w:rPr>
          <w:rFonts w:ascii="Roboto" w:eastAsia="Times New Roman" w:hAnsi="Roboto"/>
          <w:color w:val="2F2F2F"/>
          <w:lang w:eastAsia="ru-RU"/>
        </w:rPr>
        <w:t xml:space="preserve">иальной </w:t>
      </w:r>
      <w:r w:rsidRPr="00E90EEF">
        <w:rPr>
          <w:rFonts w:ascii="Roboto" w:eastAsia="Times New Roman" w:hAnsi="Roboto"/>
          <w:color w:val="2F2F2F"/>
          <w:lang w:eastAsia="ru-RU"/>
        </w:rPr>
        <w:t>оценки, которые должны поступать в Федеральную систему учета результатов СОУТ. Если в ходе автоматического мониторинга будет обнаружено, что компания действует уже более одного года, но не проводила спец</w:t>
      </w:r>
      <w:r w:rsidR="00F83C0C">
        <w:rPr>
          <w:rFonts w:ascii="Roboto" w:eastAsia="Times New Roman" w:hAnsi="Roboto"/>
          <w:color w:val="2F2F2F"/>
          <w:lang w:eastAsia="ru-RU"/>
        </w:rPr>
        <w:t xml:space="preserve">иальной </w:t>
      </w:r>
      <w:r w:rsidRPr="00E90EEF">
        <w:rPr>
          <w:rFonts w:ascii="Roboto" w:eastAsia="Times New Roman" w:hAnsi="Roboto"/>
          <w:color w:val="2F2F2F"/>
          <w:lang w:eastAsia="ru-RU"/>
        </w:rPr>
        <w:t>оценку, ей будет автоматически начислен штраф в соответствии с положениями статьи 5.27.1 КоАП.</w:t>
      </w:r>
    </w:p>
    <w:p w:rsidR="00E90EEF" w:rsidRPr="00E90EEF" w:rsidRDefault="00E90EEF" w:rsidP="00C9057F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В настоящий момент эти штрафы пока применяются в ручном режиме. Полномочиями по вынесению соответствующих постановлений обладает Трудовая инспекция, которая выносит решения о наложении штрафа по результатам плановых и внеплановых проверок. Очевидно, что с введением автоматической системы наложения санкций под ее действие подпадет гораздо большее количество организаций.</w:t>
      </w:r>
    </w:p>
    <w:p w:rsidR="00E90EEF" w:rsidRPr="00BD10A1" w:rsidRDefault="00E90EEF" w:rsidP="00E90EEF">
      <w:pPr>
        <w:spacing w:before="300" w:after="300"/>
        <w:jc w:val="center"/>
        <w:outlineLvl w:val="2"/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</w:pPr>
      <w:r w:rsidRPr="00BD10A1">
        <w:rPr>
          <w:rFonts w:ascii="Times New Roman" w:eastAsia="Times New Roman" w:hAnsi="Times New Roman"/>
          <w:b/>
          <w:bCs/>
          <w:color w:val="2F2F2F"/>
          <w:sz w:val="33"/>
          <w:szCs w:val="33"/>
          <w:u w:val="single"/>
          <w:lang w:eastAsia="ru-RU"/>
        </w:rPr>
        <w:t>Изменения в сфере СОУТ в 2020 году: аттестация методов измерений.</w:t>
      </w:r>
    </w:p>
    <w:p w:rsidR="00E90EEF" w:rsidRPr="00E90EEF" w:rsidRDefault="00E90EEF" w:rsidP="00C9057F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Несмотря на то, что некоторые переходные положениями 426-ФЗ уже перестали действовать, в законе пока еще остается некоторая часть временных норм, которая завершит свое действие в 2020 году. Речь идет о возможности применения различных типов методик для измерения интенсивности влияния вредных и опасных факторов на здоровье работников.</w:t>
      </w:r>
    </w:p>
    <w:p w:rsidR="00E90EEF" w:rsidRPr="00E90EEF" w:rsidRDefault="00E90EEF" w:rsidP="00C9057F">
      <w:pPr>
        <w:spacing w:before="100" w:beforeAutospacing="1" w:after="100" w:after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Так, часть 7 ст. 27 426-ФЗ указывает, что вплоть до конца 2020 года временно разрешается применение для этих целей методик, которые не вполне соответствуют требованиям действующего федерального закона № 102-ФЗ, посвященного вопросам обеспечения единства осуществляемых измерений. К их числу относятся те виды методик и методов, которые были допущены к применению до введения в действие указанного федерального закона № 102-ФЗ и не прошли необходимую процедуру аттестации.</w:t>
      </w:r>
    </w:p>
    <w:p w:rsidR="00E90EEF" w:rsidRPr="00E90EEF" w:rsidRDefault="00E90EEF" w:rsidP="00C9057F">
      <w:pPr>
        <w:spacing w:before="100" w:beforeAutospacing="1"/>
        <w:ind w:firstLine="709"/>
        <w:jc w:val="both"/>
        <w:rPr>
          <w:rFonts w:ascii="Roboto" w:eastAsia="Times New Roman" w:hAnsi="Roboto"/>
          <w:color w:val="2F2F2F"/>
          <w:lang w:eastAsia="ru-RU"/>
        </w:rPr>
      </w:pPr>
      <w:r w:rsidRPr="00E90EEF">
        <w:rPr>
          <w:rFonts w:ascii="Roboto" w:eastAsia="Times New Roman" w:hAnsi="Roboto"/>
          <w:color w:val="2F2F2F"/>
          <w:lang w:eastAsia="ru-RU"/>
        </w:rPr>
        <w:t>В случае наличия соответствующего указания со стороны профильных государственных органов их применение временно допускалось и при отсутствии документов о прохождении аттестации. Однако данное положение является временным: срок его действия ограничивается 31 декабря 2020 года. До этой даты все методики, относящиеся к данной категории, должны в обязательном порядке пройти процедуру аттестации в соответствии  с 102-ФЗ. В противном случае их применение для определения степени интенсивности влияния негативных факторов на здоровье работников в ходе проведения СОУТ станет незаконным. Результаты спец</w:t>
      </w:r>
      <w:r w:rsidR="00F83C0C">
        <w:rPr>
          <w:rFonts w:ascii="Roboto" w:eastAsia="Times New Roman" w:hAnsi="Roboto"/>
          <w:color w:val="2F2F2F"/>
          <w:lang w:eastAsia="ru-RU"/>
        </w:rPr>
        <w:t xml:space="preserve">иальной </w:t>
      </w:r>
      <w:r w:rsidRPr="00E90EEF">
        <w:rPr>
          <w:rFonts w:ascii="Roboto" w:eastAsia="Times New Roman" w:hAnsi="Roboto"/>
          <w:color w:val="2F2F2F"/>
          <w:lang w:eastAsia="ru-RU"/>
        </w:rPr>
        <w:t>оценки, полученные с применением таких методов после этой даты, могут быть признаны недей</w:t>
      </w:r>
      <w:r>
        <w:rPr>
          <w:rFonts w:ascii="Roboto" w:eastAsia="Times New Roman" w:hAnsi="Roboto"/>
          <w:color w:val="2F2F2F"/>
          <w:lang w:eastAsia="ru-RU"/>
        </w:rPr>
        <w:t>ствительными.</w:t>
      </w:r>
    </w:p>
    <w:p w:rsidR="008E7F7D" w:rsidRDefault="008E7F7D" w:rsidP="00E90EEF">
      <w:pPr>
        <w:jc w:val="both"/>
      </w:pPr>
      <w:bookmarkStart w:id="0" w:name="_GoBack"/>
      <w:bookmarkEnd w:id="0"/>
    </w:p>
    <w:sectPr w:rsidR="008E7F7D" w:rsidSect="00E90EE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D11"/>
    <w:multiLevelType w:val="multilevel"/>
    <w:tmpl w:val="9CB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548F2"/>
    <w:multiLevelType w:val="multilevel"/>
    <w:tmpl w:val="684A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A3B0B"/>
    <w:multiLevelType w:val="multilevel"/>
    <w:tmpl w:val="933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E75B8"/>
    <w:multiLevelType w:val="multilevel"/>
    <w:tmpl w:val="C114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EF"/>
    <w:rsid w:val="00111722"/>
    <w:rsid w:val="00130F69"/>
    <w:rsid w:val="00697183"/>
    <w:rsid w:val="006B14CF"/>
    <w:rsid w:val="008E7F7D"/>
    <w:rsid w:val="00BD10A1"/>
    <w:rsid w:val="00C9057F"/>
    <w:rsid w:val="00E90EEF"/>
    <w:rsid w:val="00F60DA8"/>
    <w:rsid w:val="00F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A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8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31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14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ttek.ru/info/2020-god-specialnaja-ocenka-truda-sout-izmenenij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centrattek.ru/info/2020-god-specialnaja-ocenka-truda-sout-izmenenij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attek.ru/ohrana-truda/specialnaja-ocenka-uslovij-truda/" TargetMode="External"/><Relationship Id="rId11" Type="http://schemas.openxmlformats.org/officeDocument/2006/relationships/hyperlink" Target="https://www.centrattek.ru/info/2020-god-specialnaja-ocenka-truda-sout-izmenenij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entrattek.ru/info/2020-god-specialnaja-ocenka-truda-sout-izmenen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trattek.ru/info/2020-god-specialnaja-ocenka-truda-sout-izmen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Специальная оценка условий труда в 2020 году.</vt:lpstr>
      <vt:lpstr>    Действующий порядок проведения СОУТ</vt:lpstr>
      <vt:lpstr>    Процедура СОУТ</vt:lpstr>
      <vt:lpstr>        Санкции за нарушение порядка проведения специальной оценки или ее не проведение.</vt:lpstr>
      <vt:lpstr>        Изменения в сфере СОУТ в 2020 году: система наложения штрафов.</vt:lpstr>
      <vt:lpstr>        Изменения в сфере СОУТ в 2020 году: аттестация методов измерений.</vt:lpstr>
    </vt:vector>
  </TitlesOfParts>
  <Company>SPecialiST RePack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АН</dc:creator>
  <cp:lastModifiedBy>Довгаль АН</cp:lastModifiedBy>
  <cp:revision>7</cp:revision>
  <dcterms:created xsi:type="dcterms:W3CDTF">2019-10-23T08:25:00Z</dcterms:created>
  <dcterms:modified xsi:type="dcterms:W3CDTF">2019-10-24T08:37:00Z</dcterms:modified>
</cp:coreProperties>
</file>